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Email do(a) autor(a):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nahum.isaque@professor.ufcg.edu.br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color w:val="ff0000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lenilde.mergia@professor.ufcg.edu.br</w:t>
        </w:r>
      </w:hyperlink>
      <w:r w:rsidDel="00000000" w:rsidR="00000000" w:rsidRPr="00000000">
        <w:rPr>
          <w:rFonts w:ascii="Arial" w:cs="Arial" w:eastAsia="Arial" w:hAnsi="Arial"/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Ensino de ciências e matemática para a convivência com o semiárido: reflexões e práticas no território do Cariri Paraibano.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Ensino de ciências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Ensino de Matemática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Convivência com o semiárido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Educação Matemática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Educação contextualizada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Formação de professores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Teatro de fantoches - educação em solos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Educação em solos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Gravidez na adolescência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Estudo de percepção - professores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Ensino de Física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Contextualização no ensino de matemática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Avaliação no processo didático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Modelagem matemática - captação de águas da chuva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Geometria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Tecnologias de convivência com o semiárido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(Traduzir palavras chave  para o inglês, espanhol e francês ).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Copiar a apresentação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Ciências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Educação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CAVALCANTE, Nahum Isaque dos Santos; LIMA, Lenilde Mérgia Ribeiro (organizadores). </w:t>
      </w:r>
      <w:r w:rsidDel="00000000" w:rsidR="00000000" w:rsidRPr="00000000">
        <w:rPr>
          <w:b w:val="1"/>
          <w:rtl w:val="0"/>
        </w:rPr>
        <w:t xml:space="preserve">Ensino de ciências e matemática para a convivência com o semiárido:</w:t>
      </w:r>
      <w:r w:rsidDel="00000000" w:rsidR="00000000" w:rsidRPr="00000000">
        <w:rPr>
          <w:rtl w:val="0"/>
        </w:rPr>
        <w:t xml:space="preserve"> reflexões e práticas no território do Cariri Paraibano. Campina Grande - PB: EDUFCG,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2022. ISBN: 978-65-86302-71-4 Disponível em: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hum.isaque@professor.ufcg.edu.br" TargetMode="External"/><Relationship Id="rId8" Type="http://schemas.openxmlformats.org/officeDocument/2006/relationships/hyperlink" Target="mailto:lenilde.mergia@professor.ufc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qQQZ4LUnYyXe1MmA8PxADPTRDw==">AMUW2mU+/V/ju8X43Rt7/ucN3ivhHbsinaa9t6dU9W1wXkFkhg87lRcgXxioI7cPxtcsaarDG0CH9i252vtvul/F+GkVuWIlkMVUbyt3YVerfdJpm2aTeLU=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